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principal"/>
        <w:keepNext w:val="false"/>
        <w:keepLines w:val="false"/>
        <w:spacing w:before="100" w:after="0"/>
        <w:rPr>
          <w:color w:val="CC0095"/>
          <w:sz w:val="48"/>
          <w:szCs w:val="48"/>
        </w:rPr>
      </w:pPr>
      <w:r>
        <w:rPr>
          <w:color w:val="CC0095"/>
          <w:sz w:val="48"/>
          <w:szCs w:val="48"/>
        </w:rPr>
        <w:t>CONDITIONS GÉNÉRALES DE VENTES</w:t>
      </w:r>
    </w:p>
    <w:p>
      <w:pPr>
        <w:pStyle w:val="Sous-titre"/>
        <w:keepNext w:val="false"/>
        <w:keepLines w:val="false"/>
        <w:rPr/>
      </w:pPr>
      <w:bookmarkStart w:id="0" w:name="_g3q72m326f7c"/>
      <w:bookmarkEnd w:id="0"/>
      <w:r>
        <w:rPr/>
        <w:t>01 mars 2024</w:t>
      </w:r>
    </w:p>
    <w:p>
      <w:pPr>
        <w:pStyle w:val="Titre1"/>
        <w:rPr/>
      </w:pPr>
      <w:r>
        <w:rPr/>
        <w:t>ARTICLE 1 : GENERALITES</w:t>
      </w:r>
    </w:p>
    <w:p>
      <w:pPr>
        <w:pStyle w:val="Normal"/>
        <w:jc w:val="both"/>
        <w:rPr>
          <w:color w:val="000000" w:themeColor="text1" w:themeShade="ff" w:themeTint="ff"/>
        </w:rPr>
      </w:pPr>
      <w:r>
        <w:rPr>
          <w:color w:val="000000" w:themeColor="text1" w:themeShade="ff" w:themeTint="ff"/>
        </w:rPr>
        <w:t>Les présentes conditions générales de prestation de services ont pour objet de préciser l’organisation des relations contractuelles entre le Prestataire et le Client, elles s’appliquent à toutes les formations dispensées par Cénotélie Opérations SAS, à l’exception de celles bénéficiant de contractualisation spécifique, et complètent la volonté commune des parties pour tous les points où celle-ci n’aura pas été clairement exprimée.</w:t>
      </w:r>
    </w:p>
    <w:p>
      <w:pPr>
        <w:pStyle w:val="Normal"/>
        <w:jc w:val="both"/>
        <w:rPr>
          <w:color w:val="000000" w:themeColor="text1" w:themeShade="ff" w:themeTint="ff"/>
        </w:rPr>
      </w:pPr>
      <w:r>
        <w:rPr>
          <w:color w:val="000000" w:themeColor="text1" w:themeShade="ff" w:themeTint="ff"/>
        </w:rPr>
        <w:t>Le terme "Prestataire" désigne : Cénotélie Opérations SAS, société par actions simplifiée, au capital de 8000 e , dont le siège social est situé au 91 rue du Faubourg Saint Honoré 75008 PARIS, immatriculée R.C.S Paris 841 023 674, représentée par toute personne habilitée.</w:t>
      </w:r>
    </w:p>
    <w:p>
      <w:pPr>
        <w:pStyle w:val="Normal"/>
        <w:jc w:val="both"/>
        <w:rPr>
          <w:color w:val="000000" w:themeColor="text1" w:themeShade="ff" w:themeTint="ff"/>
        </w:rPr>
      </w:pPr>
      <w:r>
        <w:rPr>
          <w:color w:val="000000" w:themeColor="text1" w:themeShade="ff" w:themeTint="ff"/>
        </w:rPr>
        <w:t>Le terme "Client" désigne la personne morale signataire de convention de formation (au sens de l’article L.6353-2 du Code du Travail), ou la personne physique signataire de contrat de formation (au sens de l’article L.6353-3 du Code du Travail) et acceptant les présentes conditions générales, ou encore les signataires de convention de formation tripartie (au sens des articles R.6322-32, R.6422-11 et R.6353-2 du Code du Travail), c’est-à-dire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en cas de bilan de compétences dans le cadre d’un congé de bilan de compétences (article R.6322-32 du Code du Travail),</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en cas de validation des acquis de l’expérience lorsqu’elle est financée par l’employeur dans le cadre du plan de formation (article R.6422-11 du Code du Travail),</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lorsque la formation qui a pour objet l’obtention d’un diplôme, d’un titre à finalité professionnelle ou d’un certificat de qualification professionnelle,</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a lieu à l’initiative du salarié avec l’accord de l’employeur et mis en œuvre dans le cadre du CPF,</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se déroule en dehors du temps de travail avec l’accord du salarié dans le cadre du plan de formation ou de la période de professionnalisation (article R.6353-2 du Code du Travail).</w:t>
      </w:r>
    </w:p>
    <w:p>
      <w:pPr>
        <w:pStyle w:val="Normal"/>
        <w:jc w:val="both"/>
        <w:rPr>
          <w:color w:val="000000" w:themeColor="text1" w:themeShade="ff" w:themeTint="ff"/>
        </w:rPr>
      </w:pPr>
      <w:r>
        <w:rPr>
          <w:color w:val="000000" w:themeColor="text1" w:themeShade="ff" w:themeTint="ff"/>
        </w:rPr>
        <w:t>Toutes autres conditions qui ne figurent pas dans les conditions générales de vente n’engagent le Prestataire qu’après acceptation expresse et écrite de sa part.</w:t>
      </w:r>
    </w:p>
    <w:p>
      <w:pPr>
        <w:pStyle w:val="Normal"/>
        <w:jc w:val="both"/>
        <w:rPr>
          <w:color w:val="000000" w:themeColor="text1" w:themeShade="ff" w:themeTint="ff"/>
        </w:rPr>
      </w:pPr>
      <w:r>
        <w:rPr>
          <w:color w:val="000000" w:themeColor="text1" w:themeShade="ff" w:themeTint="ff"/>
        </w:rPr>
        <w:t>Les informations et/ou prix figurant sur les documents, catalogues, publicités, prospectus ou sites internet du Prestataire ne sont données qu’à titre indicatif.</w:t>
      </w:r>
    </w:p>
    <w:p>
      <w:pPr>
        <w:pStyle w:val="Normal"/>
        <w:jc w:val="both"/>
        <w:rPr>
          <w:color w:val="000000" w:themeColor="text1" w:themeShade="ff" w:themeTint="ff"/>
        </w:rPr>
      </w:pPr>
      <w:r>
        <w:rPr>
          <w:color w:val="000000" w:themeColor="text1" w:themeShade="ff" w:themeTint="ff"/>
        </w:rPr>
        <w:t>Le seul fait d’accepter une offre du Prestataire emporte l’acceptation sans réserve des présentes conditions générales.</w:t>
      </w:r>
    </w:p>
    <w:p>
      <w:pPr>
        <w:pStyle w:val="Normal"/>
        <w:jc w:val="both"/>
        <w:rPr>
          <w:color w:val="000000" w:themeColor="text1" w:themeShade="ff" w:themeTint="ff"/>
        </w:rPr>
      </w:pPr>
      <w:r>
        <w:rPr>
          <w:color w:val="000000" w:themeColor="text1" w:themeShade="ff" w:themeTint="ff"/>
        </w:rPr>
        <w:t>Les offres du Prestataire sont valables dans la limite du délai d’option fixé à un (1) mois à compter de la date de l’offre, sauf stipulations contraires portées sur celle-ci.</w:t>
      </w:r>
    </w:p>
    <w:p>
      <w:pPr>
        <w:pStyle w:val="Normal"/>
        <w:jc w:val="both"/>
        <w:rPr>
          <w:color w:val="000000" w:themeColor="text1" w:themeShade="ff" w:themeTint="ff"/>
        </w:rPr>
      </w:pPr>
      <w:r>
        <w:rPr>
          <w:color w:val="000000" w:themeColor="text1" w:themeShade="ff" w:themeTint="ff"/>
        </w:rPr>
        <w:t>Les conditions générales peuvent être modifiées à tout moment et sans préavis par le Prestataire, les modifications seront applicables à toutes les commandes postérieures à la dite modification.</w:t>
      </w:r>
    </w:p>
    <w:p>
      <w:pPr>
        <w:pStyle w:val="Normal"/>
        <w:jc w:val="both"/>
        <w:rPr>
          <w:color w:val="000000" w:themeColor="text1" w:themeShade="ff" w:themeTint="ff"/>
        </w:rPr>
      </w:pPr>
      <w:r>
        <w:rPr>
          <w:color w:val="000000" w:themeColor="text1" w:themeShade="ff" w:themeTint="ff"/>
        </w:rPr>
        <w:t>Lorsqu’une personne physique entreprend une formation à titre individuelle et à ses frais, le contrat est réputé formé lors de sa signature, il est soumis aux dispositions des articles L.6353-3 à L.6353-9 du Code du Travail.</w:t>
      </w:r>
    </w:p>
    <w:p>
      <w:pPr>
        <w:pStyle w:val="Normal"/>
        <w:jc w:val="both"/>
        <w:rPr>
          <w:color w:val="000000" w:themeColor="text1" w:themeShade="ff" w:themeTint="ff"/>
        </w:rPr>
      </w:pPr>
      <w:r>
        <w:rPr>
          <w:color w:val="000000" w:themeColor="text1" w:themeShade="ff" w:themeTint="ff"/>
        </w:rPr>
        <w:t>Dans tous les autres cas, la convention, au sens de l’article L.6353-2 du Code du Travail, est formée par la réception, par le Prestataire, du bulletin ou de tout autre courrier de commande signé par le Client, à l’exception de ceux bénéficiant de contractualisation spécifique.</w:t>
      </w:r>
    </w:p>
    <w:p>
      <w:pPr>
        <w:pStyle w:val="Normal"/>
        <w:jc w:val="both"/>
        <w:rPr>
          <w:color w:val="000000" w:themeColor="text1" w:themeShade="ff" w:themeTint="ff"/>
        </w:rPr>
      </w:pPr>
      <w:r>
        <w:rPr>
          <w:color w:val="000000" w:themeColor="text1" w:themeShade="ff" w:themeTint="ff"/>
        </w:rPr>
        <w:t>Les formations proposées par le Prestataire relèvent des dispositions figurant à la VIe partie du Code du</w:t>
      </w:r>
    </w:p>
    <w:p>
      <w:pPr>
        <w:pStyle w:val="Normal"/>
        <w:jc w:val="both"/>
        <w:rPr>
          <w:color w:val="000000" w:themeColor="text1" w:themeShade="ff" w:themeTint="ff"/>
        </w:rPr>
      </w:pPr>
      <w:r>
        <w:rPr>
          <w:color w:val="000000" w:themeColor="text1" w:themeShade="ff" w:themeTint="ff"/>
        </w:rPr>
        <w:t>Travail relatif à la formation professionnelle continue dans le cadre de la formation professionnelle tout au long de la vie.</w:t>
      </w:r>
    </w:p>
    <w:p>
      <w:pPr>
        <w:pStyle w:val="Titre2"/>
        <w:jc w:val="both"/>
        <w:rPr/>
      </w:pPr>
      <w:r>
        <w:rPr/>
        <w:t>ARTICLE 2 : DOCUMENTS REGISSANT L’ACCORD DES PARTIES</w:t>
      </w:r>
    </w:p>
    <w:p>
      <w:pPr>
        <w:pStyle w:val="Normal"/>
        <w:jc w:val="both"/>
        <w:rPr>
          <w:color w:val="000000" w:themeColor="text1" w:themeShade="ff" w:themeTint="ff"/>
        </w:rPr>
      </w:pPr>
      <w:r>
        <w:rPr>
          <w:color w:val="000000" w:themeColor="text1" w:themeShade="ff" w:themeTint="ff"/>
        </w:rPr>
        <w:t>Les documents régissant l’accord des parties sont, à l’exclusion de tout autre, par ordre de priorité décroissante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 Règlement Intérieur de formation du Prestataire, pris en application des articles L.6352-3 à L.6352-5 et R.6352-3 à R.6352-15 du Code du Travail relatif aux droit et obligations des stagiaires au cours des sessions de formation, et à la discipline et aux garanties attachées à la mise en œuvre des formations,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 Règlement Intérieur de l’établissement accueillant les formations,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avenants éventuels aux conventions de formation professionnelle acceptées par les deux parties,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éventuelles conventions de formation professionnelle acceptées par les deux parties,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éventuelles conventions de partenariat de formation signées entre le Prestataire et le Client,</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 bulletin d’inscription dûment complété,</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fiches pédagogiques des formations,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avenants aux présentes conditions générales,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présentes conditions générales,</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offres remises par le Prestataire au Client,</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La facturation,</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Les cahiers des charges éventuellement remis par le Client au Prestataire,</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Toutes autres annexes.</w:t>
      </w:r>
    </w:p>
    <w:p>
      <w:pPr>
        <w:pStyle w:val="Normal"/>
        <w:jc w:val="both"/>
        <w:rPr>
          <w:color w:val="000000" w:themeColor="text1" w:themeShade="ff" w:themeTint="ff"/>
        </w:rPr>
      </w:pPr>
      <w:r>
        <w:rPr>
          <w:color w:val="000000" w:themeColor="text1" w:themeShade="ff" w:themeTint="ff"/>
        </w:rPr>
        <w:t>En cas de contradiction entre l’un de ces documents, celui de priorité supérieure prévaudra pour l’interprétation en cause.</w:t>
      </w:r>
    </w:p>
    <w:p>
      <w:pPr>
        <w:pStyle w:val="Normal"/>
        <w:jc w:val="both"/>
        <w:rPr>
          <w:color w:val="000000" w:themeColor="text1" w:themeShade="ff" w:themeTint="ff"/>
        </w:rPr>
      </w:pPr>
      <w:r>
        <w:rPr>
          <w:color w:val="000000" w:themeColor="text1" w:themeShade="ff" w:themeTint="ff"/>
        </w:rPr>
        <w:t>Les dispositions des conditions générales et des documents précités expriment l’intégralité de l’accord conclu entre les parties. Ces dispositions prévalent donc sur toute proposition, échange de lettres, notes ou courriers électronique antérieures à sa signature, ainsi que sur toute autre disposition figurant dans des documents échangés entre les parties et relatifs à l’objet du contrat.</w:t>
      </w:r>
    </w:p>
    <w:p>
      <w:pPr>
        <w:pStyle w:val="Titre2"/>
        <w:jc w:val="both"/>
        <w:rPr>
          <w:b/>
          <w:bCs/>
          <w:color w:val="CC0095"/>
          <w:sz w:val="26"/>
          <w:szCs w:val="26"/>
        </w:rPr>
      </w:pPr>
      <w:r>
        <w:rPr/>
        <w:t>ARTICLE 3 : MODALITES D’INSCRIPTION</w:t>
      </w:r>
    </w:p>
    <w:p>
      <w:pPr>
        <w:pStyle w:val="Normal"/>
        <w:jc w:val="both"/>
        <w:rPr>
          <w:color w:val="000000" w:themeColor="text1" w:themeShade="ff" w:themeTint="ff"/>
        </w:rPr>
      </w:pPr>
      <w:r>
        <w:rPr>
          <w:color w:val="000000" w:themeColor="text1" w:themeShade="ff" w:themeTint="ff"/>
        </w:rPr>
        <w:t>La convention n’est parfaitement conclue entre les parties que sous réserve de l’acceptation expresse de la Commande. L’acceptation de la commande se fait par renvoi du bulletin d’inscription mis en place par le Prestataire à l’adresse figurant sur celui-ci. Toute modification de la commande demandée par le Client est subordonnée à l’acceptation expresse et écrite du Prestataire.</w:t>
      </w:r>
    </w:p>
    <w:p>
      <w:pPr>
        <w:pStyle w:val="Titre2"/>
        <w:jc w:val="both"/>
        <w:rPr>
          <w:b/>
          <w:bCs/>
          <w:color w:val="CC0095"/>
          <w:sz w:val="26"/>
          <w:szCs w:val="26"/>
        </w:rPr>
      </w:pPr>
      <w:r>
        <w:rPr/>
        <w:t>ARTICLE 4 : PRÉ-REQUIS</w:t>
      </w:r>
    </w:p>
    <w:p>
      <w:pPr>
        <w:pStyle w:val="Normal"/>
        <w:jc w:val="both"/>
        <w:rPr>
          <w:color w:val="000000" w:themeColor="text1" w:themeShade="ff" w:themeTint="ff"/>
        </w:rPr>
      </w:pPr>
      <w:r>
        <w:rPr>
          <w:color w:val="000000" w:themeColor="text1" w:themeShade="ff" w:themeTint="ff"/>
        </w:rPr>
        <w:t>Le Prestataire spécifie dans ses programmes les connaissances initiales requises (prérequis) pour suivre chacune de ses formations dans des conditions optimales. Il appartient au client de s’assurer que tout stagiaire inscrit à une formation interentreprises de Prestataire satisfait bien les prérequis spécifiés sur le programme de formation correspondant. Le Prestataire ne peut en conséquence être tenue pour responsable d’une éventuelle inadéquation entre la formation suivie et le niveau initial des participants.</w:t>
      </w:r>
    </w:p>
    <w:p>
      <w:pPr>
        <w:pStyle w:val="Titre2"/>
        <w:rPr>
          <w:b/>
          <w:bCs/>
          <w:color w:val="CC0095"/>
          <w:sz w:val="26"/>
          <w:szCs w:val="26"/>
        </w:rPr>
      </w:pPr>
      <w:r>
        <w:rPr/>
        <w:t>ARTICLE 5 : PRESTATIONS DE SERVICES</w:t>
      </w:r>
    </w:p>
    <w:p>
      <w:pPr>
        <w:pStyle w:val="Normal"/>
        <w:jc w:val="both"/>
        <w:rPr>
          <w:color w:val="000000" w:themeColor="text1" w:themeShade="ff" w:themeTint="ff"/>
        </w:rPr>
      </w:pPr>
      <w:r>
        <w:rPr>
          <w:color w:val="000000" w:themeColor="text1" w:themeShade="ff" w:themeTint="ff"/>
        </w:rPr>
        <w:t>Le Prestataire réalise des prestations de formation en interentreprises et en intra-entreprise. Pour les besoins de l’exécution des formations, Le Prestataire peut être amené à installer des logiciels sur les postes informatiques du client ou mettre à sa disposition des postes informatiques équipés de logiciels préinstallés. Dans ces cas, le client ne bénéficie d’aucun droit sur les logiciels mais d’une simple mise à disposition pour les besoins et le temps nécessaire à la formation.</w:t>
      </w:r>
    </w:p>
    <w:p>
      <w:pPr>
        <w:pStyle w:val="Titre2"/>
        <w:rPr>
          <w:b/>
          <w:bCs/>
          <w:color w:val="CC0095"/>
          <w:sz w:val="26"/>
          <w:szCs w:val="26"/>
        </w:rPr>
      </w:pPr>
      <w:r>
        <w:rPr/>
        <w:t>ARTICLE 6 : CONDITIONS D’INSCRIPTION ET FINANCIERES</w:t>
      </w:r>
    </w:p>
    <w:p>
      <w:pPr>
        <w:pStyle w:val="Normal"/>
        <w:jc w:val="both"/>
        <w:rPr>
          <w:color w:val="000000" w:themeColor="text1" w:themeShade="ff" w:themeTint="ff"/>
        </w:rPr>
      </w:pPr>
      <w:r>
        <w:rPr>
          <w:color w:val="000000" w:themeColor="text1" w:themeShade="ff" w:themeTint="ff"/>
        </w:rPr>
        <w:t>Le prix comprend uniquement la formation et le support pédagogique. Les repas ne sont pas compris dans le prix du stage, sauf avis contraire exprimé à l’inscription et option proposée par le Prestataire. Dans ce cas, ils sont facturés en sus et imputables sur la participation de l’employeur dans la limite de cinq fois le minimum garanti par jour et par stagiaire (décret n° 2010-1584 du 17/12/ 2010 - JO du 18/12/2010). A titre indicatif, le montant par jour et par stagiaire du déjeuner est de 25 e HT.</w:t>
      </w:r>
    </w:p>
    <w:p>
      <w:pPr>
        <w:pStyle w:val="Normal"/>
        <w:jc w:val="both"/>
        <w:rPr>
          <w:color w:val="000000" w:themeColor="text1" w:themeShade="ff" w:themeTint="ff"/>
        </w:rPr>
      </w:pPr>
      <w:r>
        <w:rPr>
          <w:color w:val="000000" w:themeColor="text1" w:themeShade="ff" w:themeTint="ff"/>
        </w:rPr>
        <w:t>Les frais de déplacement et d’hébergement restent à la charge exclusive du Client.</w:t>
      </w:r>
    </w:p>
    <w:p>
      <w:pPr>
        <w:pStyle w:val="Normal"/>
        <w:jc w:val="both"/>
        <w:rPr>
          <w:color w:val="000000" w:themeColor="text1" w:themeShade="ff" w:themeTint="ff"/>
        </w:rPr>
      </w:pPr>
      <w:r>
        <w:rPr>
          <w:color w:val="000000" w:themeColor="text1" w:themeShade="ff" w:themeTint="ff"/>
        </w:rPr>
        <w:t>6.1. Concernant les conventions de formation (financement entreprise)</w:t>
      </w:r>
    </w:p>
    <w:p>
      <w:pPr>
        <w:pStyle w:val="Normal"/>
        <w:jc w:val="both"/>
        <w:rPr>
          <w:color w:val="000000" w:themeColor="text1" w:themeShade="ff" w:themeTint="ff"/>
        </w:rPr>
      </w:pPr>
      <w:r>
        <w:rPr>
          <w:color w:val="000000" w:themeColor="text1" w:themeShade="ff" w:themeTint="ff"/>
        </w:rPr>
        <w:t>A réception de l’inscription du Client, le Prestataire fera parvenir une convention de formation ou une facture valant convention simplifiée et précisant les conditions financières.</w:t>
      </w:r>
    </w:p>
    <w:p>
      <w:pPr>
        <w:pStyle w:val="Normal"/>
        <w:jc w:val="both"/>
        <w:rPr>
          <w:color w:val="000000" w:themeColor="text1" w:themeShade="ff" w:themeTint="ff"/>
        </w:rPr>
      </w:pPr>
      <w:r>
        <w:rPr>
          <w:color w:val="000000" w:themeColor="text1" w:themeShade="ff" w:themeTint="ff"/>
        </w:rPr>
        <w:t>6.2. Concernant les contrats de formation (financement personne physique à ses frais) uniquement</w:t>
      </w:r>
    </w:p>
    <w:p>
      <w:pPr>
        <w:pStyle w:val="Normal"/>
        <w:jc w:val="both"/>
        <w:rPr>
          <w:color w:val="000000" w:themeColor="text1" w:themeShade="ff" w:themeTint="ff"/>
        </w:rPr>
      </w:pPr>
      <w:r>
        <w:rPr>
          <w:color w:val="000000" w:themeColor="text1" w:themeShade="ff" w:themeTint="ff"/>
        </w:rPr>
        <w:t>A compter de la date de signature du contrat de formation, le Client a un délai de 10 jours pour se rétracter. Il en informe le Prestataire par lettre recommandée avec accusé de réception.</w:t>
      </w:r>
    </w:p>
    <w:p>
      <w:pPr>
        <w:pStyle w:val="Normal"/>
        <w:jc w:val="both"/>
        <w:rPr>
          <w:color w:val="000000" w:themeColor="text1" w:themeShade="ff" w:themeTint="ff"/>
        </w:rPr>
      </w:pPr>
      <w:r>
        <w:rPr>
          <w:color w:val="000000" w:themeColor="text1" w:themeShade="ff" w:themeTint="ff"/>
        </w:rPr>
        <w:t>Dans ce cas, aucune somme ne peut être exigée du Client. A l’expiration du délai, il ne peut être payé une somme supérieure à 30% du prix (se reporter au contrat pour le montant précis). Le solde donne lieu à échelonnement des paiements au fur et à mesure du déroulement de l’action de formation, comme stipulé au contrat de formation.</w:t>
      </w:r>
    </w:p>
    <w:p>
      <w:pPr>
        <w:pStyle w:val="Titre2"/>
        <w:rPr>
          <w:b/>
          <w:bCs/>
          <w:color w:val="CC0095"/>
          <w:sz w:val="26"/>
          <w:szCs w:val="26"/>
        </w:rPr>
      </w:pPr>
      <w:r>
        <w:rPr/>
        <w:t>ARTICLE 7 : CONDITIONS ET MOYENS DE PAIEMENT</w:t>
      </w:r>
    </w:p>
    <w:p>
      <w:pPr>
        <w:pStyle w:val="Normal"/>
        <w:jc w:val="both"/>
        <w:rPr>
          <w:color w:val="000000" w:themeColor="text1" w:themeShade="ff" w:themeTint="ff"/>
        </w:rPr>
      </w:pPr>
      <w:r>
        <w:rPr>
          <w:color w:val="000000" w:themeColor="text1" w:themeShade="ff" w:themeTint="ff"/>
        </w:rPr>
        <w:t>Les prix sont établis hors taxes. Ils sont facturés aux conditions de la convention de formation. Les paiements ont lieu en euros.</w:t>
      </w:r>
    </w:p>
    <w:p>
      <w:pPr>
        <w:pStyle w:val="Normal"/>
        <w:jc w:val="both"/>
        <w:rPr>
          <w:color w:val="000000" w:themeColor="text1" w:themeShade="ff" w:themeTint="ff"/>
        </w:rPr>
      </w:pPr>
      <w:r>
        <w:rPr>
          <w:color w:val="000000" w:themeColor="text1" w:themeShade="ff" w:themeTint="ff"/>
        </w:rPr>
        <w:t>ATTENTION : Il vous appartient de vérifier l’imputabilité de votre stage auprès de votre OPCO, de faire votre demande de prise en charge avant la formation et de vous faire rembourser les sommes correspondantes.</w:t>
      </w:r>
    </w:p>
    <w:p>
      <w:pPr>
        <w:pStyle w:val="Normal"/>
        <w:jc w:val="both"/>
        <w:rPr>
          <w:color w:val="000000" w:themeColor="text1" w:themeShade="ff" w:themeTint="ff"/>
        </w:rPr>
      </w:pPr>
      <w:r>
        <w:rPr>
          <w:color w:val="000000" w:themeColor="text1" w:themeShade="ff" w:themeTint="ff"/>
        </w:rPr>
        <w:t>Si le Client souhaite que le règlement soit émis par l’OPCO dont il dépend, il lui appartient de faire une demande de prise en charge avant le début de la formation et de s’assurer de la bonne fin de cette demande. Il appartient également au client de l’indiquer explicitement sur son bulletin d’inscription.</w:t>
      </w:r>
    </w:p>
    <w:p>
      <w:pPr>
        <w:pStyle w:val="Normal"/>
        <w:jc w:val="both"/>
        <w:rPr>
          <w:color w:val="000000" w:themeColor="text1" w:themeShade="ff" w:themeTint="ff"/>
        </w:rPr>
      </w:pPr>
      <w:r>
        <w:rPr>
          <w:color w:val="000000" w:themeColor="text1" w:themeShade="ff" w:themeTint="ff"/>
        </w:rPr>
        <w:t>7.1. Modalités de paiement</w:t>
      </w:r>
    </w:p>
    <w:p>
      <w:pPr>
        <w:pStyle w:val="Normal"/>
        <w:jc w:val="both"/>
        <w:rPr>
          <w:color w:val="000000" w:themeColor="text1" w:themeShade="ff" w:themeTint="ff"/>
        </w:rPr>
      </w:pPr>
      <w:r>
        <w:rPr>
          <w:color w:val="000000" w:themeColor="text1" w:themeShade="ff" w:themeTint="ff"/>
        </w:rPr>
        <w:t>Les paiements ont lieu après réception de la facture, sans escompte, ni ristourne ou remise sauf accord particulier. Les dates de paiement convenues contractuellement ne peuvent être remises en cause unilatéralement par le Client sous quelque prétexte que ce soit, y compris en cas de litige.</w:t>
      </w:r>
    </w:p>
    <w:p>
      <w:pPr>
        <w:pStyle w:val="Normal"/>
        <w:jc w:val="both"/>
        <w:rPr>
          <w:color w:val="000000" w:themeColor="text1" w:themeShade="ff" w:themeTint="ff"/>
        </w:rPr>
      </w:pPr>
      <w:r>
        <w:rPr>
          <w:color w:val="000000" w:themeColor="text1" w:themeShade="ff" w:themeTint="ff"/>
        </w:rPr>
        <w:t xml:space="preserve">7.2 Règlement par un Opérateur de Compétences </w:t>
      </w:r>
    </w:p>
    <w:p>
      <w:pPr>
        <w:pStyle w:val="Normal"/>
        <w:jc w:val="both"/>
        <w:rPr>
          <w:color w:val="000000" w:themeColor="text1" w:themeShade="ff" w:themeTint="ff"/>
        </w:rPr>
      </w:pPr>
      <w:r>
        <w:rPr>
          <w:color w:val="000000" w:themeColor="text1" w:themeShade="ff" w:themeTint="ff"/>
        </w:rPr>
        <w:t xml:space="preserve">Si le Client souhaite que le règlement soit effectué par l’Opérateur de Compétences dont il dépend, il lui appartient : </w:t>
      </w:r>
    </w:p>
    <w:p>
      <w:pPr>
        <w:pStyle w:val="Normal"/>
        <w:jc w:val="both"/>
        <w:rPr>
          <w:color w:val="000000" w:themeColor="text1" w:themeShade="ff" w:themeTint="ff"/>
        </w:rPr>
      </w:pPr>
      <w:r>
        <w:rPr>
          <w:color w:val="000000" w:themeColor="text1" w:themeShade="ff" w:themeTint="ff"/>
        </w:rPr>
        <w:t xml:space="preserve">- de faire une demande de prise en charge avant le début de la formation et de s’assurer de la bonne fin de cette demande ; </w:t>
      </w:r>
    </w:p>
    <w:p>
      <w:pPr>
        <w:pStyle w:val="Normal"/>
        <w:jc w:val="both"/>
        <w:rPr>
          <w:color w:val="000000" w:themeColor="text1" w:themeShade="ff" w:themeTint="ff"/>
        </w:rPr>
      </w:pPr>
      <w:r>
        <w:rPr>
          <w:color w:val="000000" w:themeColor="text1" w:themeShade="ff" w:themeTint="ff"/>
        </w:rPr>
        <w:t xml:space="preserve">- de l’indiquer explicitement sur son bulletin d’inscription ou sur son bon de commande ; </w:t>
      </w:r>
    </w:p>
    <w:p>
      <w:pPr>
        <w:pStyle w:val="Normal"/>
        <w:jc w:val="both"/>
        <w:rPr>
          <w:color w:val="000000" w:themeColor="text1" w:themeShade="ff" w:themeTint="ff"/>
        </w:rPr>
      </w:pPr>
      <w:r>
        <w:rPr>
          <w:color w:val="000000" w:themeColor="text1" w:themeShade="ff" w:themeTint="ff"/>
        </w:rPr>
        <w:t xml:space="preserve">- de s’assurer de la bonne fin du paiement par l’Opérateur de Compétences qu’il aura désigné. </w:t>
      </w:r>
    </w:p>
    <w:p>
      <w:pPr>
        <w:pStyle w:val="Normal"/>
        <w:jc w:val="both"/>
        <w:rPr>
          <w:color w:val="000000" w:themeColor="text1" w:themeShade="ff" w:themeTint="ff"/>
        </w:rPr>
      </w:pPr>
      <w:r>
        <w:rPr>
          <w:color w:val="000000" w:themeColor="text1" w:themeShade="ff" w:themeTint="ff"/>
        </w:rPr>
        <w:t>Si l’Opérateur de Compétences ne prend en charge que partiellement le coût de la formation, le reliquat sera facturé au Client. En cas de non-paiement par l’Opérateur de Compétences, pour quelque motif que ce soit, le Client sera redevable de l’intégralité du coût de la formation et sera facturé du montant correspondant.</w:t>
      </w:r>
    </w:p>
    <w:p>
      <w:pPr>
        <w:pStyle w:val="Normal"/>
        <w:jc w:val="both"/>
        <w:rPr>
          <w:color w:val="000000" w:themeColor="text1" w:themeShade="ff" w:themeTint="ff"/>
        </w:rPr>
      </w:pPr>
      <w:r>
        <w:rPr>
          <w:color w:val="000000" w:themeColor="text1" w:themeShade="ff" w:themeTint="ff"/>
        </w:rPr>
        <w:t>7.3 Retard de paiement</w:t>
      </w:r>
    </w:p>
    <w:p>
      <w:pPr>
        <w:pStyle w:val="Normal"/>
        <w:jc w:val="both"/>
        <w:rPr>
          <w:color w:val="000000" w:themeColor="text1" w:themeShade="ff" w:themeTint="ff"/>
        </w:rPr>
      </w:pPr>
      <w:r>
        <w:rPr>
          <w:color w:val="000000" w:themeColor="text1" w:themeShade="ff" w:themeTint="ff"/>
        </w:rPr>
        <w:t>Les pénalités de retard de paiement commencent à courir après mise en demeure par lettre RAR.</w:t>
      </w:r>
    </w:p>
    <w:p>
      <w:pPr>
        <w:pStyle w:val="Normal"/>
        <w:jc w:val="both"/>
        <w:rPr>
          <w:color w:val="000000" w:themeColor="text1" w:themeShade="ff" w:themeTint="ff"/>
        </w:rPr>
      </w:pPr>
      <w:r>
        <w:rPr>
          <w:color w:val="000000" w:themeColor="text1" w:themeShade="ff" w:themeTint="ff"/>
        </w:rPr>
        <w:t>Les indemnités de retard de paiement sont calculées sur la base de 3 fois le taux d’intérêt légal ainsi qu’une indemnité forfaitaire pour frais de recouvrement de 40 € seront exigibles (articles L 441-3 et L 441-6 du Code Commerce).</w:t>
      </w:r>
    </w:p>
    <w:p>
      <w:pPr>
        <w:pStyle w:val="Titre2"/>
        <w:rPr>
          <w:b/>
          <w:bCs/>
          <w:color w:val="CC0095"/>
          <w:sz w:val="26"/>
          <w:szCs w:val="26"/>
        </w:rPr>
      </w:pPr>
      <w:r>
        <w:rPr/>
        <w:t>ARTICLE 8 : MODALITES DE LA FORMATION</w:t>
      </w:r>
    </w:p>
    <w:p>
      <w:pPr>
        <w:pStyle w:val="Normal"/>
        <w:jc w:val="both"/>
        <w:rPr>
          <w:color w:val="000000" w:themeColor="text1" w:themeShade="ff" w:themeTint="ff"/>
        </w:rPr>
      </w:pPr>
      <w:r>
        <w:rPr>
          <w:color w:val="000000" w:themeColor="text1" w:themeShade="ff" w:themeTint="ff"/>
        </w:rPr>
        <w:t>8.1. Modalités de déroulement de la formation Les formations ont lieu aux dates et conditions indiquées dans la convention de formation.</w:t>
      </w:r>
    </w:p>
    <w:p>
      <w:pPr>
        <w:pStyle w:val="Normal"/>
        <w:jc w:val="both"/>
        <w:rPr>
          <w:color w:val="000000" w:themeColor="text1" w:themeShade="ff" w:themeTint="ff"/>
        </w:rPr>
      </w:pPr>
      <w:r>
        <w:rPr>
          <w:color w:val="000000" w:themeColor="text1" w:themeShade="ff" w:themeTint="ff"/>
        </w:rPr>
        <w:t>8.2. Nature de l’action de formation</w:t>
      </w:r>
    </w:p>
    <w:p>
      <w:pPr>
        <w:pStyle w:val="Normal"/>
        <w:jc w:val="both"/>
        <w:rPr>
          <w:color w:val="000000" w:themeColor="text1" w:themeShade="ff" w:themeTint="ff"/>
        </w:rPr>
      </w:pPr>
      <w:r>
        <w:rPr>
          <w:color w:val="000000" w:themeColor="text1" w:themeShade="ff" w:themeTint="ff"/>
        </w:rPr>
        <w:t>Les actions de formation assurées par le Prestataire entrent dans le champ de l’article L.6313-1 du Code du</w:t>
      </w:r>
    </w:p>
    <w:p>
      <w:pPr>
        <w:pStyle w:val="Normal"/>
        <w:jc w:val="both"/>
        <w:rPr>
          <w:color w:val="000000" w:themeColor="text1" w:themeShade="ff" w:themeTint="ff"/>
        </w:rPr>
      </w:pPr>
      <w:r>
        <w:rPr>
          <w:color w:val="000000" w:themeColor="text1" w:themeShade="ff" w:themeTint="ff"/>
        </w:rPr>
        <w:t>Travail.</w:t>
      </w:r>
    </w:p>
    <w:p>
      <w:pPr>
        <w:pStyle w:val="Normal"/>
        <w:jc w:val="both"/>
        <w:rPr>
          <w:color w:val="000000" w:themeColor="text1" w:themeShade="ff" w:themeTint="ff"/>
        </w:rPr>
      </w:pPr>
      <w:r>
        <w:rPr>
          <w:color w:val="000000" w:themeColor="text1" w:themeShade="ff" w:themeTint="ff"/>
        </w:rPr>
        <w:t>8.3. Sanction de l’action de formation</w:t>
      </w:r>
    </w:p>
    <w:p>
      <w:pPr>
        <w:pStyle w:val="Normal"/>
        <w:jc w:val="both"/>
        <w:rPr>
          <w:color w:val="000000" w:themeColor="text1" w:themeShade="ff" w:themeTint="ff"/>
        </w:rPr>
      </w:pPr>
      <w:r>
        <w:rPr>
          <w:color w:val="000000" w:themeColor="text1" w:themeShade="ff" w:themeTint="ff"/>
        </w:rPr>
        <w:t>Conformément à l’article L.6353-1 alinéa 2 du Code de Travail, le Prestataire remettra, à l’issue de la formation, une attestation de participation à la formation ainsi que les résultats de l’évaluation des acquis de la formation en cas de demande de capitalisation. En tout état de cause, la remise de tout certificat, attestation, ou titre certifié délivré en fin de formation ou sanctionnant la formation objet des présentes est conditionnée au complet paiement du prix de la formation par le Client au Prestataire.</w:t>
      </w:r>
    </w:p>
    <w:p>
      <w:pPr>
        <w:pStyle w:val="Normal"/>
        <w:jc w:val="both"/>
        <w:rPr>
          <w:color w:val="000000" w:themeColor="text1" w:themeShade="ff" w:themeTint="ff"/>
        </w:rPr>
      </w:pPr>
      <w:r>
        <w:rPr>
          <w:color w:val="000000" w:themeColor="text1" w:themeShade="ff" w:themeTint="ff"/>
        </w:rPr>
        <w:t>En cas de demande de capitalisation, l’attestation de suivi ne pourra être remise que si le participant a été assidu à l’ensemble des dates de formation programmées.</w:t>
      </w:r>
    </w:p>
    <w:p>
      <w:pPr>
        <w:pStyle w:val="Normal"/>
        <w:jc w:val="both"/>
        <w:rPr>
          <w:color w:val="000000" w:themeColor="text1" w:themeShade="ff" w:themeTint="ff"/>
        </w:rPr>
      </w:pPr>
      <w:r>
        <w:rPr>
          <w:color w:val="000000" w:themeColor="text1" w:themeShade="ff" w:themeTint="ff"/>
        </w:rPr>
        <w:t>8.4. Assurance</w:t>
      </w:r>
    </w:p>
    <w:p>
      <w:pPr>
        <w:pStyle w:val="Normal"/>
        <w:jc w:val="both"/>
        <w:rPr>
          <w:color w:val="000000" w:themeColor="text1" w:themeShade="ff" w:themeTint="ff"/>
        </w:rPr>
      </w:pPr>
      <w:r>
        <w:rPr>
          <w:color w:val="000000" w:themeColor="text1" w:themeShade="ff" w:themeTint="ff"/>
        </w:rPr>
        <w:t>Le Client s’oblige à souscrire et maintenir en prévision et pendant la durée de la formation une assurance responsabilité civile couvrant les dommages corporels, matériels, immatériels, directs et indirects susceptibles d’être causés par ses agissements ou ceux de ses préposés au préjudice du Prestataire. Il s’oblige également à souscrire et maintenir une assurance responsabilité civile désignant également comme assuré le Prestataire pour tous les agissements préjudiciables aux tiers qui auraient été causés par le stagiaire ou préposé, et contenant une clause de renonciation à recours, de telle sorte que le Prestataire ne puisse être recherché ou inquiété.</w:t>
      </w:r>
    </w:p>
    <w:p>
      <w:pPr>
        <w:pStyle w:val="Titre2"/>
        <w:rPr>
          <w:b/>
          <w:bCs/>
          <w:color w:val="CC0095"/>
          <w:sz w:val="26"/>
          <w:szCs w:val="26"/>
        </w:rPr>
      </w:pPr>
      <w:r>
        <w:rPr/>
        <w:t>ARTICLE 9 : RESILIATION OU ABANDON DE LA FORMATION</w:t>
      </w:r>
    </w:p>
    <w:p>
      <w:pPr>
        <w:pStyle w:val="Normal"/>
        <w:jc w:val="both"/>
        <w:rPr>
          <w:color w:val="000000" w:themeColor="text1" w:themeShade="ff" w:themeTint="ff"/>
        </w:rPr>
      </w:pPr>
      <w:r>
        <w:rPr>
          <w:color w:val="000000" w:themeColor="text1" w:themeShade="ff" w:themeTint="ff"/>
        </w:rPr>
        <w:t>Toute annulation d’inscription doit être signalée par téléphone et confirmée par écrit. En cas de résiliation ou d’abandon de la formation du fait du Client ou de ses préposés, moins de 10 jours calendaires avant le début de la formation ou après le début des formations, le Client devra s’acquitter au bénéfice du Prestataire d’une indemnité à titre de clause pénale d’un montant égal à 100% du prix de formation restant dus.</w:t>
      </w:r>
    </w:p>
    <w:p>
      <w:pPr>
        <w:pStyle w:val="Normal"/>
        <w:jc w:val="both"/>
        <w:rPr>
          <w:color w:val="000000" w:themeColor="text1" w:themeShade="ff" w:themeTint="ff"/>
        </w:rPr>
      </w:pPr>
      <w:r>
        <w:rPr>
          <w:color w:val="000000" w:themeColor="text1" w:themeShade="ff" w:themeTint="ff"/>
        </w:rPr>
        <w:t>Si le Prestataire organise dans les 6 mois à venir une session de formation sur le même sujet, une possibilité</w:t>
      </w:r>
    </w:p>
    <w:p>
      <w:pPr>
        <w:pStyle w:val="Normal"/>
        <w:jc w:val="both"/>
        <w:rPr>
          <w:color w:val="000000" w:themeColor="text1" w:themeShade="ff" w:themeTint="ff"/>
        </w:rPr>
      </w:pPr>
      <w:r>
        <w:rPr>
          <w:color w:val="000000" w:themeColor="text1" w:themeShade="ff" w:themeTint="ff"/>
        </w:rPr>
        <w:t>de report sera proposée dans la limite des places disponibles et le Prestataire établira un avoir du montant correspondant à l’indemnité payé</w:t>
      </w:r>
      <w:r>
        <w:rPr>
          <w:color w:val="000000" w:themeColor="text1" w:themeShade="ff" w:themeTint="ff"/>
        </w:rPr>
        <w:t>e</w:t>
      </w:r>
      <w:r>
        <w:rPr>
          <w:color w:val="000000" w:themeColor="text1" w:themeShade="ff" w:themeTint="ff"/>
        </w:rPr>
        <w:t xml:space="preserve"> par le Client.</w:t>
      </w:r>
    </w:p>
    <w:p>
      <w:pPr>
        <w:pStyle w:val="Normal"/>
        <w:jc w:val="both"/>
        <w:rPr>
          <w:color w:val="000000" w:themeColor="text1" w:themeShade="ff" w:themeTint="ff"/>
        </w:rPr>
      </w:pPr>
      <w:r>
        <w:rPr>
          <w:color w:val="000000" w:themeColor="text1" w:themeShade="ff" w:themeTint="ff"/>
        </w:rPr>
        <w:t>Ces indemnités ne peuvent être imputées par l’employeur au titre de son obligation définie par l’article L.6331-1 du code du travail, ni faire l’objet d’une demande de remboursement ou de prise en charge par l’OPCO.</w:t>
      </w:r>
    </w:p>
    <w:p>
      <w:pPr>
        <w:pStyle w:val="Titre2"/>
        <w:rPr>
          <w:b/>
          <w:bCs/>
          <w:color w:val="CC0095"/>
          <w:sz w:val="26"/>
          <w:szCs w:val="26"/>
        </w:rPr>
      </w:pPr>
      <w:r>
        <w:rPr/>
        <w:t>ARTICLE 10 : CONVOCATIONS</w:t>
      </w:r>
    </w:p>
    <w:p>
      <w:pPr>
        <w:pStyle w:val="Normal"/>
        <w:jc w:val="both"/>
        <w:rPr>
          <w:color w:val="000000" w:themeColor="text1" w:themeShade="ff" w:themeTint="ff"/>
        </w:rPr>
      </w:pPr>
      <w:r>
        <w:rPr>
          <w:color w:val="000000" w:themeColor="text1" w:themeShade="ff" w:themeTint="ff"/>
        </w:rPr>
        <w:t>Le Prestataire ne peut être tenu responsable de la non réception de la convocation quel qu</w:t>
      </w:r>
      <w:r>
        <w:rPr>
          <w:color w:val="000000" w:themeColor="text1" w:themeShade="ff" w:themeTint="ff"/>
        </w:rPr>
        <w:t>e</w:t>
      </w:r>
      <w:r>
        <w:rPr>
          <w:color w:val="000000" w:themeColor="text1" w:themeShade="ff" w:themeTint="ff"/>
        </w:rPr>
        <w:t xml:space="preserve"> soi</w:t>
      </w:r>
      <w:r>
        <w:rPr>
          <w:color w:val="000000" w:themeColor="text1" w:themeShade="ff" w:themeTint="ff"/>
        </w:rPr>
        <w:t>t</w:t>
      </w:r>
      <w:r>
        <w:rPr>
          <w:color w:val="000000" w:themeColor="text1" w:themeShade="ff" w:themeTint="ff"/>
        </w:rPr>
        <w:t xml:space="preserve"> le ou les destinataires chez le client, notamment en cas d’absence du ou des stagiaires à la formation. Dans le doute, il appartient au client de s’assurer de l’inscription de ses stagiaires et de leur présence à la formation.</w:t>
      </w:r>
    </w:p>
    <w:p>
      <w:pPr>
        <w:pStyle w:val="Titre2"/>
        <w:rPr>
          <w:b/>
          <w:bCs/>
          <w:color w:val="CC0095"/>
          <w:sz w:val="26"/>
          <w:szCs w:val="26"/>
        </w:rPr>
      </w:pPr>
      <w:r>
        <w:rPr/>
        <w:t>ARTICLE 11 : TRAVAUX PREPARATOIRES ET ACCESSOIRES A LA COMMANDE</w:t>
      </w:r>
    </w:p>
    <w:p>
      <w:pPr>
        <w:pStyle w:val="Normal"/>
        <w:jc w:val="both"/>
        <w:rPr>
          <w:color w:val="000000" w:themeColor="text1" w:themeShade="ff" w:themeTint="ff"/>
        </w:rPr>
      </w:pPr>
      <w:r>
        <w:rPr>
          <w:color w:val="000000" w:themeColor="text1" w:themeShade="ff" w:themeTint="ff"/>
        </w:rPr>
        <w:t>Tous les plans, descriptifs, documents techniques, rapports préalables, devis ou tous autres documents remis à l’autre partie sont communiqués dans le cadre d’un prêt d’usage à seule finalité d’évaluation et de discussion de l’offre commerciale du Prestataire. Ces documents ne seront pas utilisés par l’autre partie à d’autres fins.</w:t>
      </w:r>
    </w:p>
    <w:p>
      <w:pPr>
        <w:pStyle w:val="Normal"/>
        <w:jc w:val="both"/>
        <w:rPr>
          <w:color w:val="000000" w:themeColor="text1" w:themeShade="ff" w:themeTint="ff"/>
        </w:rPr>
      </w:pPr>
      <w:r>
        <w:rPr>
          <w:color w:val="000000" w:themeColor="text1" w:themeShade="ff" w:themeTint="ff"/>
        </w:rPr>
        <w:t>Le Prestataire conserve l’intégralité des droits de propriété matérielle et intellectuelle sur ces documents. Ils seront restitués au Prestataire à première demande.</w:t>
      </w:r>
    </w:p>
    <w:p>
      <w:pPr>
        <w:pStyle w:val="Titre2"/>
        <w:rPr>
          <w:b/>
          <w:bCs/>
          <w:color w:val="CC0095"/>
          <w:sz w:val="26"/>
          <w:szCs w:val="26"/>
        </w:rPr>
      </w:pPr>
      <w:r>
        <w:rPr/>
        <w:t>ARTICLE 12 : INFORMATIONS</w:t>
      </w:r>
    </w:p>
    <w:p>
      <w:pPr>
        <w:pStyle w:val="Normal"/>
        <w:jc w:val="both"/>
        <w:rPr>
          <w:color w:val="000000" w:themeColor="text1" w:themeShade="ff" w:themeTint="ff"/>
        </w:rPr>
      </w:pPr>
      <w:r>
        <w:rPr>
          <w:color w:val="000000" w:themeColor="text1" w:themeShade="ff" w:themeTint="ff"/>
        </w:rPr>
        <w:t>Le Client s’engage à transmettre toutes informations utiles à la mise en œuvre du service demandé au Prestataire.</w:t>
      </w:r>
    </w:p>
    <w:p>
      <w:pPr>
        <w:pStyle w:val="Titre2"/>
        <w:rPr>
          <w:b/>
          <w:bCs/>
          <w:color w:val="CC0095"/>
          <w:sz w:val="26"/>
          <w:szCs w:val="26"/>
        </w:rPr>
      </w:pPr>
      <w:r>
        <w:rPr/>
        <w:t>ARTICLE 13 : PROPRIÉTÉ INTELLECTUELLE</w:t>
      </w:r>
    </w:p>
    <w:p>
      <w:pPr>
        <w:pStyle w:val="Normal"/>
        <w:jc w:val="both"/>
        <w:rPr>
          <w:color w:val="000000" w:themeColor="text1" w:themeShade="ff" w:themeTint="ff"/>
        </w:rPr>
      </w:pPr>
      <w:r>
        <w:rPr>
          <w:color w:val="000000" w:themeColor="text1" w:themeShade="ff" w:themeTint="ff"/>
        </w:rPr>
        <w:t>Chaque partie s’engage à considérer toutes informations techniques, pédagogiques, didactiques, éducatives, documentaires, financières, commerciales et/ou juridiques, tout savoir-faire relatif à des études, des rapports, des produits ou des développements, des plans, des modélisations etc... qui lui seront remis par une autre partie comme étant la propriété industrielle et/ou intellectuelle de celle-ci et en conséquent à ne le utiliser que dans le cadre de l’exécution de la présent</w:t>
      </w:r>
      <w:r>
        <w:rPr>
          <w:color w:val="000000" w:themeColor="text1" w:themeShade="ff" w:themeTint="ff"/>
        </w:rPr>
        <w:t>e</w:t>
      </w:r>
      <w:r>
        <w:rPr>
          <w:color w:val="000000" w:themeColor="text1" w:themeShade="ff" w:themeTint="ff"/>
        </w:rPr>
        <w:t xml:space="preserve"> convention.</w:t>
      </w:r>
    </w:p>
    <w:p>
      <w:pPr>
        <w:pStyle w:val="Normal"/>
        <w:jc w:val="both"/>
        <w:rPr>
          <w:color w:val="000000" w:themeColor="text1" w:themeShade="ff" w:themeTint="ff"/>
        </w:rPr>
      </w:pPr>
      <w:r>
        <w:rPr>
          <w:color w:val="000000" w:themeColor="text1" w:themeShade="ff" w:themeTint="ff"/>
        </w:rPr>
        <w:t>Ces informations ne pourront être communiquées ou rendues accessibles à des tiers, en tout ou en partie sans l’aval écrit préalable de son propriétaire.</w:t>
      </w:r>
    </w:p>
    <w:p>
      <w:pPr>
        <w:pStyle w:val="Normal"/>
        <w:jc w:val="both"/>
        <w:rPr>
          <w:color w:val="000000" w:themeColor="text1" w:themeShade="ff" w:themeTint="ff"/>
        </w:rPr>
      </w:pPr>
      <w:r>
        <w:rPr>
          <w:color w:val="000000" w:themeColor="text1" w:themeShade="ff" w:themeTint="ff"/>
        </w:rPr>
        <w:t>Les parties ne s’opposeront aucun de leurs droits de propriété industrielle et/ou intellectuelle leur appartenant qui feraient obstacle à la mise en l’œuvre de la commande.</w:t>
      </w:r>
    </w:p>
    <w:p>
      <w:pPr>
        <w:pStyle w:val="Normal"/>
        <w:jc w:val="both"/>
        <w:rPr>
          <w:color w:val="000000" w:themeColor="text1" w:themeShade="ff" w:themeTint="ff"/>
        </w:rPr>
      </w:pPr>
      <w:r>
        <w:rPr>
          <w:color w:val="000000" w:themeColor="text1" w:themeShade="ff" w:themeTint="ff"/>
        </w:rPr>
        <w:t>Le Client s’interdit d’utiliser le contenu des formations pour former d’autres personnes que son propre personnel et engage sa responsabilité sur le fondement des articles L. 122-4 et L.335-2 et suivant du code de la propriété intellectuelle en cas de cession ou de communication des contenus non autorisée. Toute reproduction, représentation, modification, publication, transmission, dénaturation, totale ou partielle des contenus de formations sont strictement interdites, et ce quels que soient le procédé et le support utilisés. La responsabilité du client serait engagée si un usage non autorisé était fait des logiciels ou support de stage.</w:t>
      </w:r>
    </w:p>
    <w:p>
      <w:pPr>
        <w:pStyle w:val="Titre2"/>
        <w:rPr>
          <w:b/>
          <w:bCs/>
          <w:color w:val="CC0095"/>
          <w:sz w:val="26"/>
          <w:szCs w:val="26"/>
        </w:rPr>
      </w:pPr>
      <w:r>
        <w:rPr/>
        <w:t>ARTICLE 14 : CONFIDENTIALITE</w:t>
      </w:r>
    </w:p>
    <w:p>
      <w:pPr>
        <w:pStyle w:val="Normal"/>
        <w:jc w:val="both"/>
        <w:rPr>
          <w:color w:val="000000" w:themeColor="text1" w:themeShade="ff" w:themeTint="ff"/>
        </w:rPr>
      </w:pPr>
      <w:r>
        <w:rPr>
          <w:color w:val="000000" w:themeColor="text1" w:themeShade="ff" w:themeTint="ff"/>
        </w:rPr>
        <w:t>Les parties peuvent être amenées à s’échanger ou à prendre connaissance d’informations confidentielles au cours de l’exécution des présentes.</w:t>
      </w:r>
    </w:p>
    <w:p>
      <w:pPr>
        <w:pStyle w:val="Normal"/>
        <w:jc w:val="both"/>
        <w:rPr>
          <w:color w:val="000000" w:themeColor="text1" w:themeShade="ff" w:themeTint="ff"/>
        </w:rPr>
      </w:pPr>
      <w:r>
        <w:rPr>
          <w:color w:val="000000" w:themeColor="text1" w:themeShade="ff" w:themeTint="ff"/>
        </w:rPr>
        <w:t>14.1. Définitions</w:t>
      </w:r>
    </w:p>
    <w:p>
      <w:pPr>
        <w:pStyle w:val="Normal"/>
        <w:jc w:val="both"/>
        <w:rPr>
          <w:color w:val="000000" w:themeColor="text1" w:themeShade="ff" w:themeTint="ff"/>
        </w:rPr>
      </w:pPr>
      <w:r>
        <w:rPr>
          <w:color w:val="000000" w:themeColor="text1" w:themeShade="ff" w:themeTint="ff"/>
        </w:rPr>
        <w:t>Sont considérées comme informations confidentielles toutes informations techniques, pédagogiques, didactiques, éducatives, documentaires, financières, commerciales et/ou juridiques, tout savoir-faire relatif à l’enseignement, à sa mise en pratique, à des études, des produits ou des développements, des plans, des modélisations et/ou produits couverts ou non par des droits de propriété intellectuelle, que ces informations soient communiquées par écrit, y compris sou format de schéma ou de note explicative, ou oralement.</w:t>
      </w:r>
    </w:p>
    <w:p>
      <w:pPr>
        <w:pStyle w:val="Normal"/>
        <w:jc w:val="both"/>
        <w:rPr>
          <w:color w:val="000000" w:themeColor="text1" w:themeShade="ff" w:themeTint="ff"/>
        </w:rPr>
      </w:pPr>
      <w:r>
        <w:rPr>
          <w:color w:val="000000" w:themeColor="text1" w:themeShade="ff" w:themeTint="ff"/>
        </w:rPr>
        <w:t>14.2. Obligations</w:t>
      </w:r>
    </w:p>
    <w:p>
      <w:pPr>
        <w:pStyle w:val="Normal"/>
        <w:jc w:val="both"/>
        <w:rPr>
          <w:color w:val="000000" w:themeColor="text1" w:themeShade="ff" w:themeTint="ff"/>
        </w:rPr>
      </w:pPr>
      <w:r>
        <w:rPr>
          <w:color w:val="000000" w:themeColor="text1" w:themeShade="ff" w:themeTint="ff"/>
        </w:rPr>
        <w:t>Les parties s’engagent à considérer comme confidentielles l’ensemble des informations, telles que ci-dessus définies, communiquées volontairement ou non par l’autre partie ou dont le cocontractant aurait pris connaissance à l’insu de son partenaire.</w:t>
      </w:r>
    </w:p>
    <w:p>
      <w:pPr>
        <w:pStyle w:val="Normal"/>
        <w:jc w:val="both"/>
        <w:rPr>
          <w:color w:val="000000" w:themeColor="text1" w:themeShade="ff" w:themeTint="ff"/>
        </w:rPr>
      </w:pPr>
      <w:r>
        <w:rPr>
          <w:color w:val="000000" w:themeColor="text1" w:themeShade="ff" w:themeTint="ff"/>
        </w:rPr>
        <w:t>La partie ayant pris connaissance de ces informations confidentielles ne pourra les communiquer, sous quelque forme que ce soit à quiconque.</w:t>
      </w:r>
    </w:p>
    <w:p>
      <w:pPr>
        <w:pStyle w:val="Normal"/>
        <w:jc w:val="both"/>
        <w:rPr>
          <w:color w:val="000000" w:themeColor="text1" w:themeShade="ff" w:themeTint="ff"/>
        </w:rPr>
      </w:pPr>
      <w:r>
        <w:rPr>
          <w:color w:val="000000" w:themeColor="text1" w:themeShade="ff" w:themeTint="ff"/>
        </w:rPr>
        <w:t>Les parties s’engagent à prendre toutes précautions utiles pour éviter toute divulgation ou utilisation non autorisée.</w:t>
      </w:r>
    </w:p>
    <w:p>
      <w:pPr>
        <w:pStyle w:val="Normal"/>
        <w:jc w:val="both"/>
        <w:rPr>
          <w:color w:val="000000" w:themeColor="text1" w:themeShade="ff" w:themeTint="ff"/>
        </w:rPr>
      </w:pPr>
      <w:r>
        <w:rPr>
          <w:color w:val="000000" w:themeColor="text1" w:themeShade="ff" w:themeTint="ff"/>
        </w:rPr>
        <w:t>14.3. Exceptions</w:t>
      </w:r>
    </w:p>
    <w:p>
      <w:pPr>
        <w:pStyle w:val="Normal"/>
        <w:jc w:val="both"/>
        <w:rPr>
          <w:color w:val="000000" w:themeColor="text1" w:themeShade="ff" w:themeTint="ff"/>
        </w:rPr>
      </w:pPr>
      <w:r>
        <w:rPr>
          <w:color w:val="000000" w:themeColor="text1" w:themeShade="ff" w:themeTint="ff"/>
        </w:rPr>
        <w:t>Les obligations de confidentialité mentionnées ci-avant ne sauront s’appliquer aux informations dont la partie réceptrice peut démontrer qu’elles sont : dans le domaine public au moment de leur divulgation, déjà connue de la partie réceptrice au moment de la divulgation, divulguées à la partie réceptrice par un tiers ayant le droit de divulguer ces informations, ou enfin, développées indépendamment par la partie réceptrice.</w:t>
      </w:r>
    </w:p>
    <w:p>
      <w:pPr>
        <w:pStyle w:val="Normal"/>
        <w:jc w:val="both"/>
        <w:rPr>
          <w:color w:val="000000" w:themeColor="text1" w:themeShade="ff" w:themeTint="ff"/>
        </w:rPr>
      </w:pPr>
      <w:r>
        <w:rPr>
          <w:color w:val="000000" w:themeColor="text1" w:themeShade="ff" w:themeTint="ff"/>
        </w:rPr>
        <w:t>14.4. Durée</w:t>
      </w:r>
    </w:p>
    <w:p>
      <w:pPr>
        <w:pStyle w:val="Normal"/>
        <w:jc w:val="both"/>
        <w:rPr>
          <w:color w:val="000000" w:themeColor="text1" w:themeShade="ff" w:themeTint="ff"/>
        </w:rPr>
      </w:pPr>
      <w:r>
        <w:rPr>
          <w:color w:val="000000" w:themeColor="text1" w:themeShade="ff" w:themeTint="ff"/>
        </w:rPr>
        <w:t>Les obligations de confidentialité et de non-utilisation ci-avant développées resteront en vigueur pendant un délai de cinq (5) ans à compter du terme ou de la résiliation de la présente convention.</w:t>
      </w:r>
    </w:p>
    <w:p>
      <w:pPr>
        <w:pStyle w:val="Normal"/>
        <w:jc w:val="both"/>
        <w:rPr>
          <w:color w:val="000000" w:themeColor="text1" w:themeShade="ff" w:themeTint="ff"/>
        </w:rPr>
      </w:pPr>
      <w:r>
        <w:rPr>
          <w:color w:val="000000" w:themeColor="text1" w:themeShade="ff" w:themeTint="ff"/>
        </w:rPr>
        <w:t>Le Prestataire met à disposition les moyens matériels strictement nécessaires au stage (les moyens audiovisuels, les outils informatiques...). Il est entendu que les outils pédagogiques sont mis à la disposition des stagiaires uniquement aux fins de formation, ce qui exclut toute utilisation à des fins personnelles. En conséquence, le stagiaire s’interdit notamment d’introduire, dans quelque système informatisé que ce soit, des données qui ne seraient pas strictement liées et nécessaires à sa formation.</w:t>
      </w:r>
    </w:p>
    <w:p>
      <w:pPr>
        <w:pStyle w:val="Normal"/>
        <w:jc w:val="both"/>
        <w:rPr>
          <w:color w:val="000000" w:themeColor="text1" w:themeShade="ff" w:themeTint="ff"/>
        </w:rPr>
      </w:pPr>
      <w:r>
        <w:rPr>
          <w:color w:val="000000" w:themeColor="text1" w:themeShade="ff" w:themeTint="ff"/>
        </w:rPr>
        <w:t>Le stagiaire s’interdit de supprimer, modifier, adjoindre un code d’accès, mot de passe ou clé différent de celui qui a été mis en place ainsi que d’introduire dans le système des données susceptibles de porter atteinte aux droits patrimoniaux et extrapatrimoniaux du Prestataire et/ou de nuire au bon fonctionnement du Prestataire. De la même façon, il s’interdit de falsifier, dupliquer, reproduire directement ou indirectement les logiciels, progiciels, notebooks, machines virtuelles mis à sa disposition pour les besoins de la formation et/ou auxquels il aura accès ainsi que de transmettre de quelque façon que ce soit des données propres au Prestataire.</w:t>
      </w:r>
    </w:p>
    <w:p>
      <w:pPr>
        <w:pStyle w:val="Titre2"/>
        <w:rPr>
          <w:b/>
          <w:bCs/>
          <w:color w:val="CC0095"/>
          <w:sz w:val="26"/>
          <w:szCs w:val="26"/>
        </w:rPr>
      </w:pPr>
      <w:r>
        <w:rPr/>
        <w:t>ARTICLE 15 : DONNEES PERSONNELLES</w:t>
      </w:r>
    </w:p>
    <w:p>
      <w:pPr>
        <w:pStyle w:val="Normal"/>
        <w:jc w:val="both"/>
        <w:rPr>
          <w:color w:val="000000" w:themeColor="text1" w:themeShade="ff" w:themeTint="ff"/>
        </w:rPr>
      </w:pPr>
      <w:r>
        <w:rPr>
          <w:color w:val="000000" w:themeColor="text1" w:themeShade="ff" w:themeTint="ff"/>
        </w:rPr>
        <w:t>Les informations recueillies dans le cadre des actions de formation mentionnées sont nécessaires pour que les dites formations soient exécutées conformément notamment aux dispositions du Code du Travail citées ci-avant.</w:t>
      </w:r>
    </w:p>
    <w:p>
      <w:pPr>
        <w:pStyle w:val="Normal"/>
        <w:jc w:val="both"/>
        <w:rPr>
          <w:color w:val="000000" w:themeColor="text1" w:themeShade="ff" w:themeTint="ff"/>
        </w:rPr>
      </w:pPr>
      <w:r>
        <w:rPr>
          <w:color w:val="000000" w:themeColor="text1" w:themeShade="ff" w:themeTint="ff"/>
        </w:rPr>
        <w:t xml:space="preserve">Elles font l’objet d’un traitement informatique destiné à assurer la gestion administrative et pédagogique prévue dans le cadre de la prestation, conforme à la politique de confidentialité qui peut être consultée à tout moment sur le site web du Prestataire : </w:t>
      </w:r>
      <w:r>
        <w:rPr>
          <w:rStyle w:val="LienInternet"/>
          <w:color w:val="000000" w:themeColor="text1" w:themeShade="ff" w:themeTint="ff"/>
        </w:rPr>
        <w:t>https://cenotelie.fr</w:t>
      </w:r>
    </w:p>
    <w:p>
      <w:pPr>
        <w:pStyle w:val="Normal"/>
        <w:jc w:val="both"/>
        <w:rPr>
          <w:color w:val="000000" w:themeColor="text1" w:themeShade="ff" w:themeTint="ff"/>
        </w:rPr>
      </w:pPr>
      <w:r>
        <w:rPr>
          <w:color w:val="000000" w:themeColor="text1" w:themeShade="ff" w:themeTint="ff"/>
        </w:rPr>
      </w:r>
    </w:p>
    <w:p>
      <w:pPr>
        <w:pStyle w:val="Titre2"/>
        <w:rPr>
          <w:b/>
          <w:bCs/>
          <w:color w:val="CC0095"/>
          <w:sz w:val="26"/>
          <w:szCs w:val="26"/>
        </w:rPr>
      </w:pPr>
      <w:r>
        <w:rPr/>
        <w:t>ARTICLE 16 : FORCE MAJEURE</w:t>
      </w:r>
    </w:p>
    <w:p>
      <w:pPr>
        <w:pStyle w:val="Normal"/>
        <w:jc w:val="both"/>
        <w:rPr>
          <w:color w:val="000000" w:themeColor="text1" w:themeShade="ff" w:themeTint="ff"/>
        </w:rPr>
      </w:pPr>
      <w:r>
        <w:rPr>
          <w:color w:val="000000" w:themeColor="text1" w:themeShade="ff" w:themeTint="ff"/>
        </w:rPr>
        <w:t>Aucune des parties au présent contrat ne pourra être tenue pour responsable de son retard ou de sa défaillance à exécuter l’une des obligations à sa charge au titre du contrat si ce retard ou cette défaillance sont l’effet direct ou indirect d’un cas de force majeure entendu dans un sens plus large que la jurisprudence française tels que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survenance d’un cataclysme naturel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tremblement de terre, tempête, incendie, inondation, etc.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conflit armé, guerre, conflit, attentats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conflit du travail, grève totale ou partielle chez le fournisseur ou le client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conflit du travail, grève totale ou partielle chez les fournisseurs, prestataires de services, transporteurs, postes, services publics, etc.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injonction impérative des pouvoirs publics (interdiction d’importer, embargo) ;</w:t>
      </w:r>
    </w:p>
    <w:p>
      <w:pPr>
        <w:pStyle w:val="Normal"/>
        <w:jc w:val="both"/>
        <w:rPr>
          <w:color w:val="000000" w:themeColor="text1" w:themeShade="ff" w:themeTint="ff"/>
        </w:rPr>
      </w:pPr>
      <w:r>
        <w:rPr>
          <w:color w:val="000000" w:themeColor="text1" w:themeShade="ff" w:themeTint="ff"/>
        </w:rPr>
        <w:t xml:space="preserve">— </w:t>
      </w:r>
      <w:r>
        <w:rPr>
          <w:color w:val="000000" w:themeColor="text1" w:themeShade="ff" w:themeTint="ff"/>
        </w:rPr>
        <w:t>accidents d’exploitation, bris de machines, explosion.</w:t>
      </w:r>
    </w:p>
    <w:p>
      <w:pPr>
        <w:pStyle w:val="Normal"/>
        <w:jc w:val="both"/>
        <w:rPr>
          <w:color w:val="000000" w:themeColor="text1" w:themeShade="ff" w:themeTint="ff"/>
        </w:rPr>
      </w:pPr>
      <w:r>
        <w:rPr>
          <w:color w:val="000000" w:themeColor="text1" w:themeShade="ff" w:themeTint="ff"/>
        </w:rPr>
        <w:t>Chaque partie informera l’autre partie, sans délai, de la survenance d’un cas de force majeure dont elle aura connaissance et qui, à ses yeux, est de nature à affecter l’exécution du contrat.</w:t>
      </w:r>
    </w:p>
    <w:p>
      <w:pPr>
        <w:pStyle w:val="Normal"/>
        <w:jc w:val="both"/>
        <w:rPr>
          <w:color w:val="000000" w:themeColor="text1" w:themeShade="ff" w:themeTint="ff"/>
        </w:rPr>
      </w:pPr>
      <w:r>
        <w:rPr>
          <w:color w:val="000000" w:themeColor="text1" w:themeShade="ff" w:themeTint="ff"/>
        </w:rPr>
        <w:t>Si la durée de l’empêchement excède 10 jours ouvrables, les parties devront se concerter dans les 5 jours ouvrables suivant l’expiration du délai de 10 jours ouvrables pour examiner de bonne foi si le contrat doit se poursuivre ou s’arrêter.</w:t>
      </w:r>
    </w:p>
    <w:p>
      <w:pPr>
        <w:pStyle w:val="Titre2"/>
        <w:rPr>
          <w:b/>
          <w:bCs/>
          <w:color w:val="CC0095"/>
          <w:sz w:val="26"/>
          <w:szCs w:val="26"/>
        </w:rPr>
      </w:pPr>
      <w:r>
        <w:rPr/>
        <w:t>ARTICLE 17 : INTUITU PERSONNAE ET SOUS-TRAITANCE</w:t>
      </w:r>
    </w:p>
    <w:p>
      <w:pPr>
        <w:pStyle w:val="Normal"/>
        <w:jc w:val="both"/>
        <w:rPr>
          <w:color w:val="000000" w:themeColor="text1" w:themeShade="ff" w:themeTint="ff"/>
        </w:rPr>
      </w:pPr>
      <w:r>
        <w:rPr>
          <w:color w:val="000000" w:themeColor="text1" w:themeShade="ff" w:themeTint="ff"/>
        </w:rPr>
        <w:t>17.1. Sous-traitance</w:t>
      </w:r>
    </w:p>
    <w:p>
      <w:pPr>
        <w:pStyle w:val="Normal"/>
        <w:jc w:val="both"/>
        <w:rPr>
          <w:color w:val="000000" w:themeColor="text1" w:themeShade="ff" w:themeTint="ff"/>
        </w:rPr>
      </w:pPr>
      <w:r>
        <w:rPr>
          <w:color w:val="000000" w:themeColor="text1" w:themeShade="ff" w:themeTint="ff"/>
        </w:rPr>
        <w:t>Les parties se réservent également le droit de sous-traiter tout ou partie des prestations - auprès de toute personne, morale ou physique, étrangère à ses services ou à ses partenaires - qui lui sont confiées et ce sous son entière et seule responsabilité.</w:t>
      </w:r>
    </w:p>
    <w:p>
      <w:pPr>
        <w:pStyle w:val="Normal"/>
        <w:jc w:val="both"/>
        <w:rPr>
          <w:color w:val="000000" w:themeColor="text1" w:themeShade="ff" w:themeTint="ff"/>
        </w:rPr>
      </w:pPr>
      <w:r>
        <w:rPr>
          <w:color w:val="000000" w:themeColor="text1" w:themeShade="ff" w:themeTint="ff"/>
        </w:rPr>
        <w:t>Le sous-traitant n’aura pas à être agréé expressément par le cocontractant mais devra se soumettre aux mêmes engagements que ceux stipulés aux présentes.</w:t>
      </w:r>
    </w:p>
    <w:p>
      <w:pPr>
        <w:pStyle w:val="Normal"/>
        <w:jc w:val="both"/>
        <w:rPr>
          <w:color w:val="000000" w:themeColor="text1" w:themeShade="ff" w:themeTint="ff"/>
        </w:rPr>
      </w:pPr>
      <w:r>
        <w:rPr>
          <w:color w:val="000000" w:themeColor="text1" w:themeShade="ff" w:themeTint="ff"/>
        </w:rPr>
        <w:t>Par ailleurs, le cocontractant recourant à la sous-traitance devra veiller à ce que le contrat de sous-traitance ne puisse en aucun cas venir entraver la jouissance paisible du cocontractant ou interférer avec la présente convention.</w:t>
      </w:r>
    </w:p>
    <w:p>
      <w:pPr>
        <w:pStyle w:val="Normal"/>
        <w:jc w:val="both"/>
        <w:rPr>
          <w:color w:val="000000" w:themeColor="text1" w:themeShade="ff" w:themeTint="ff"/>
        </w:rPr>
      </w:pPr>
      <w:r>
        <w:rPr>
          <w:color w:val="000000" w:themeColor="text1" w:themeShade="ff" w:themeTint="ff"/>
        </w:rPr>
        <w:t>17.2. Intuitu personae - Cessibilité du contrat</w:t>
      </w:r>
    </w:p>
    <w:p>
      <w:pPr>
        <w:pStyle w:val="Normal"/>
        <w:jc w:val="both"/>
        <w:rPr>
          <w:color w:val="000000" w:themeColor="text1" w:themeShade="ff" w:themeTint="ff"/>
        </w:rPr>
      </w:pPr>
      <w:r>
        <w:rPr>
          <w:color w:val="000000" w:themeColor="text1" w:themeShade="ff" w:themeTint="ff"/>
        </w:rPr>
        <w:t>Le présent contrat est conclu en considération des compétences des parties. Il est en outre conclu dans le contexte des besoins décrits par les présentes et en considération des équipes des parties.</w:t>
      </w:r>
    </w:p>
    <w:p>
      <w:pPr>
        <w:pStyle w:val="Normal"/>
        <w:jc w:val="both"/>
        <w:rPr>
          <w:color w:val="000000" w:themeColor="text1" w:themeShade="ff" w:themeTint="ff"/>
        </w:rPr>
      </w:pPr>
      <w:r>
        <w:rPr>
          <w:color w:val="000000" w:themeColor="text1" w:themeShade="ff" w:themeTint="ff"/>
        </w:rPr>
        <w:t>En conséquence, le présent contrat est incessible par les parties, sauf accord exprès, écrit et préalable du cocontractant.</w:t>
      </w:r>
    </w:p>
    <w:p>
      <w:pPr>
        <w:pStyle w:val="Normal"/>
        <w:jc w:val="both"/>
        <w:rPr>
          <w:color w:val="000000" w:themeColor="text1" w:themeShade="ff" w:themeTint="ff"/>
        </w:rPr>
      </w:pPr>
      <w:r>
        <w:rPr>
          <w:color w:val="000000" w:themeColor="text1" w:themeShade="ff" w:themeTint="ff"/>
        </w:rPr>
        <w:t>Les inscriptions aux formations du Prestataire sont donc strictement personnelles. Tout transfert de l’inscription au profit d’un tiers ou mise à disposition des supports de la formation à quelque titre que ce soit est strictement interdit.</w:t>
      </w:r>
    </w:p>
    <w:p>
      <w:pPr>
        <w:pStyle w:val="Titre2"/>
        <w:rPr>
          <w:b/>
          <w:bCs/>
          <w:color w:val="CC0095"/>
          <w:sz w:val="26"/>
          <w:szCs w:val="26"/>
        </w:rPr>
      </w:pPr>
      <w:r>
        <w:rPr/>
        <w:t>ARTICLE 18 : LIMITATIONS DE RESPONSABILITÉ DU PRESTATAIRE</w:t>
      </w:r>
    </w:p>
    <w:p>
      <w:pPr>
        <w:pStyle w:val="Normal"/>
        <w:jc w:val="both"/>
        <w:rPr>
          <w:color w:val="000000" w:themeColor="text1" w:themeShade="ff" w:themeTint="ff"/>
        </w:rPr>
      </w:pPr>
      <w:r>
        <w:rPr>
          <w:color w:val="000000" w:themeColor="text1" w:themeShade="ff" w:themeTint="ff"/>
        </w:rPr>
        <w:t>La responsabilité de Prestataire ne peut en aucun cas être engagée pour toute défaillance technique du matériel ou toute cause étrangère au Prestataire. Quel que soit le type de prestations, la responsabilité de Prestataire est expressément limitée à l’indemnisation des dommages directs prouvés par le client. La responsabilité de Prestataire est plafonnée au montant du prix payé par le client au titre de la prestation concernée. En aucun cas, la responsabilité de Prestataire ne saurait être engagée au titre des dommages indirects tels que perte de données, de fichier(s), perte d’exploitation, préjudice commercial, manque à gagner, atteinte à l’image et la réputation.</w:t>
      </w:r>
    </w:p>
    <w:p>
      <w:pPr>
        <w:pStyle w:val="Titre2"/>
        <w:rPr>
          <w:b/>
          <w:bCs/>
          <w:color w:val="CC0095"/>
          <w:sz w:val="26"/>
          <w:szCs w:val="26"/>
        </w:rPr>
      </w:pPr>
      <w:r>
        <w:rPr/>
        <w:t>ARTICLE 19 : DIFFERENDS EVENTUELS</w:t>
      </w:r>
    </w:p>
    <w:p>
      <w:pPr>
        <w:pStyle w:val="Normal"/>
        <w:jc w:val="both"/>
        <w:rPr>
          <w:color w:val="000000" w:themeColor="text1" w:themeShade="ff" w:themeTint="ff"/>
        </w:rPr>
      </w:pPr>
      <w:r>
        <w:rPr>
          <w:color w:val="000000" w:themeColor="text1" w:themeShade="ff" w:themeTint="ff"/>
        </w:rPr>
        <w:t>Les parties conviennent d’épuiser toutes les solutions amiables concernant l’interprétation, l’exécution ou la réalisation des présentes, avant de les porter devant le Tribunal compétent.</w:t>
      </w:r>
    </w:p>
    <w:p>
      <w:pPr>
        <w:pStyle w:val="Normal"/>
        <w:jc w:val="both"/>
        <w:rPr>
          <w:color w:val="000000" w:themeColor="text1" w:themeShade="ff" w:themeTint="ff"/>
        </w:rPr>
      </w:pPr>
      <w:r>
        <w:rPr>
          <w:color w:val="000000" w:themeColor="text1" w:themeShade="ff" w:themeTint="ff"/>
        </w:rPr>
        <w:t>Les Parties acceptent cette attribution de juridiction sans aucune restriction ni réserve.</w:t>
      </w:r>
    </w:p>
    <w:p>
      <w:pPr>
        <w:pStyle w:val="Normal"/>
        <w:jc w:val="both"/>
        <w:rPr>
          <w:color w:val="000000" w:themeColor="text1" w:themeShade="ff" w:themeTint="ff"/>
        </w:rPr>
      </w:pPr>
      <w:r>
        <w:rPr>
          <w:color w:val="000000" w:themeColor="text1" w:themeShade="ff" w:themeTint="ff"/>
        </w:rPr>
        <w:t>Tout litige relatif à l'interprétation et à l'exécution des présentes conditions générales de vente est soumis au droit français.</w:t>
      </w:r>
    </w:p>
    <w:p>
      <w:pPr>
        <w:pStyle w:val="Normal"/>
        <w:jc w:val="both"/>
        <w:rPr>
          <w:color w:val="000000" w:themeColor="text1" w:themeShade="ff" w:themeTint="ff"/>
        </w:rPr>
      </w:pPr>
      <w:r>
        <w:rPr>
          <w:color w:val="000000" w:themeColor="text1" w:themeShade="ff" w:themeTint="ff"/>
        </w:rPr>
        <w:t>À défaut de résolution amiable, le litige sera porté devant le Tribunal de commerce.</w:t>
      </w:r>
    </w:p>
    <w:p>
      <w:pPr>
        <w:pStyle w:val="Normal"/>
        <w:jc w:val="both"/>
        <w:rPr>
          <w:color w:val="000000" w:themeColor="text1" w:themeShade="ff" w:themeTint="ff"/>
        </w:rPr>
      </w:pPr>
      <w:r>
        <w:rPr>
          <w:color w:val="000000" w:themeColor="text1" w:themeShade="ff" w:themeTint="ff"/>
        </w:rPr>
      </w:r>
    </w:p>
    <w:p>
      <w:pPr>
        <w:pStyle w:val="Normal"/>
        <w:jc w:val="left"/>
        <w:rPr>
          <w:color w:val="000000" w:themeColor="text1" w:themeShade="ff" w:themeTint="ff"/>
        </w:rPr>
      </w:pPr>
      <w:r>
        <w:rPr>
          <w:color w:val="000000" w:themeColor="text1" w:themeShade="ff" w:themeTint="ff"/>
        </w:rPr>
      </w:r>
    </w:p>
    <w:sectPr>
      <w:headerReference w:type="default" r:id="rId2"/>
      <w:footerReference w:type="default" r:id="rId3"/>
      <w:type w:val="nextPage"/>
      <w:pgSz w:w="12240" w:h="15840"/>
      <w:pgMar w:left="990" w:right="900" w:gutter="0" w:header="0" w:top="1440" w:footer="720" w:bottom="1440"/>
      <w:pgNumType w:start="1" w:fmt="decimal"/>
      <w:cols w:num="2" w:space="720" w:equalWidth="true" w:sep="false"/>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ato">
    <w:charset w:val="01"/>
    <w:family w:val="roman"/>
    <w:pitch w:val="variable"/>
  </w:font>
  <w:font w:name="Trebuchet MS">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20" w:after="0"/>
      <w:jc w:val="right"/>
      <w:rPr/>
    </w:pPr>
    <w:r>
      <w:rPr/>
      <w:fldChar w:fldCharType="begin"/>
    </w:r>
    <w:r>
      <w:rPr/>
      <w:instrText xml:space="preserve"> PAGE </w:instrText>
    </w:r>
    <w:r>
      <w:rPr/>
      <w:fldChar w:fldCharType="separate"/>
    </w:r>
    <w:r>
      <w:rPr/>
      <w:t>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lineRule="auto" w:line="276" w:before="120" w:after="0"/>
      <w:jc w:val="left"/>
      <w:rPr/>
    </w:pPr>
    <w:r>
      <w:drawing>
        <wp:anchor behindDoc="0" distT="114300" distB="114300" distL="114300" distR="114300" simplePos="0" locked="0" layoutInCell="0" allowOverlap="1" relativeHeight="9">
          <wp:simplePos x="0" y="0"/>
          <wp:positionH relativeFrom="page">
            <wp:posOffset>6019800</wp:posOffset>
          </wp:positionH>
          <wp:positionV relativeFrom="page">
            <wp:posOffset>133350</wp:posOffset>
          </wp:positionV>
          <wp:extent cx="1181100" cy="224790"/>
          <wp:effectExtent l="0" t="0" r="0" b="0"/>
          <wp:wrapTopAndBottom/>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1181100" cy="224790"/>
                  </a:xfrm>
                  <a:prstGeom prst="rect">
                    <a:avLst/>
                  </a:prstGeom>
                </pic:spPr>
              </pic:pic>
            </a:graphicData>
          </a:graphic>
        </wp:anchor>
      </w:drawing>
    </w:r>
    <w:r>
      <w:rPr/>
      <w:t>Conditions générales de ventes</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ato" w:hAnsi="Lato" w:eastAsia="Lato" w:cs="Lato"/>
        <w:color w:val="666666"/>
        <w:sz w:val="22"/>
        <w:szCs w:val="22"/>
        <w:lang w:val="fr-FR"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76" w:before="120" w:after="0"/>
      <w:jc w:val="left"/>
    </w:pPr>
    <w:rPr>
      <w:rFonts w:ascii="Lato" w:hAnsi="Lato" w:eastAsia="Lato" w:cs="Lato"/>
      <w:color w:val="666666"/>
      <w:kern w:val="0"/>
      <w:sz w:val="22"/>
      <w:szCs w:val="22"/>
      <w:lang w:val="fr-FR" w:eastAsia="zh-CN" w:bidi="hi-IN"/>
    </w:rPr>
  </w:style>
  <w:style w:type="paragraph" w:styleId="Titre1">
    <w:name w:val="Heading 1"/>
    <w:basedOn w:val="Normal"/>
    <w:next w:val="Normal"/>
    <w:qFormat/>
    <w:pPr>
      <w:keepNext w:val="true"/>
      <w:keepLines/>
      <w:spacing w:lineRule="auto" w:line="240" w:before="480" w:after="200"/>
    </w:pPr>
    <w:rPr>
      <w:b/>
      <w:color w:val="B3007B"/>
      <w:sz w:val="30"/>
      <w:szCs w:val="30"/>
    </w:rPr>
  </w:style>
  <w:style w:type="paragraph" w:styleId="Titre2">
    <w:name w:val="Heading 2"/>
    <w:basedOn w:val="Normal"/>
    <w:next w:val="Normal"/>
    <w:qFormat/>
    <w:pPr>
      <w:keepNext w:val="true"/>
      <w:keepLines/>
    </w:pPr>
    <w:rPr>
      <w:b/>
      <w:color w:val="CC0095"/>
      <w:sz w:val="26"/>
      <w:szCs w:val="26"/>
    </w:rPr>
  </w:style>
  <w:style w:type="paragraph" w:styleId="Titre3">
    <w:name w:val="Heading 3"/>
    <w:basedOn w:val="Normal"/>
    <w:next w:val="Normal"/>
    <w:qFormat/>
    <w:pPr>
      <w:keepNext w:val="true"/>
      <w:keepLines/>
      <w:spacing w:lineRule="auto" w:line="240" w:before="200" w:after="0"/>
      <w:ind w:right="-30" w:hanging="0"/>
    </w:pPr>
    <w:rPr>
      <w:b/>
      <w:color w:val="000000"/>
      <w:sz w:val="24"/>
      <w:szCs w:val="24"/>
    </w:rPr>
  </w:style>
  <w:style w:type="paragraph" w:styleId="Titre4">
    <w:name w:val="Heading 4"/>
    <w:basedOn w:val="Normal"/>
    <w:next w:val="Normal"/>
    <w:qFormat/>
    <w:pPr>
      <w:keepNext w:val="true"/>
      <w:keepLines/>
      <w:spacing w:lineRule="auto" w:line="240" w:before="160" w:after="0"/>
    </w:pPr>
    <w:rPr>
      <w:rFonts w:ascii="Trebuchet MS" w:hAnsi="Trebuchet MS" w:eastAsia="Trebuchet MS" w:cs="Trebuchet MS"/>
      <w:color w:val="666666"/>
      <w:sz w:val="22"/>
      <w:szCs w:val="22"/>
      <w:u w:val="single"/>
    </w:rPr>
  </w:style>
  <w:style w:type="paragraph" w:styleId="Titre5">
    <w:name w:val="Heading 5"/>
    <w:basedOn w:val="Normal"/>
    <w:next w:val="Normal"/>
    <w:qFormat/>
    <w:pPr>
      <w:keepNext w:val="true"/>
      <w:keepLines/>
      <w:spacing w:lineRule="auto" w:line="240" w:before="160" w:after="0"/>
    </w:pPr>
    <w:rPr>
      <w:rFonts w:ascii="Trebuchet MS" w:hAnsi="Trebuchet MS" w:eastAsia="Trebuchet MS" w:cs="Trebuchet MS"/>
      <w:color w:val="666666"/>
      <w:sz w:val="22"/>
      <w:szCs w:val="22"/>
    </w:rPr>
  </w:style>
  <w:style w:type="paragraph" w:styleId="Titre6">
    <w:name w:val="Heading 6"/>
    <w:basedOn w:val="Normal"/>
    <w:next w:val="Normal"/>
    <w:qFormat/>
    <w:pPr>
      <w:keepNext w:val="true"/>
      <w:keepLines/>
      <w:spacing w:lineRule="auto" w:line="240" w:before="160" w:after="0"/>
    </w:pPr>
    <w:rPr>
      <w:rFonts w:ascii="Trebuchet MS" w:hAnsi="Trebuchet MS" w:eastAsia="Trebuchet MS" w:cs="Trebuchet MS"/>
      <w:i/>
      <w:color w:val="666666"/>
      <w:sz w:val="22"/>
      <w:szCs w:val="22"/>
    </w:rPr>
  </w:style>
  <w:style w:type="character" w:styleId="LienInternet">
    <w:name w:val="Hyperlink"/>
    <w:rPr>
      <w:color w:val="000080"/>
      <w:u w:val="singl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reprincipal">
    <w:name w:val="Title"/>
    <w:basedOn w:val="Normal"/>
    <w:next w:val="Normal"/>
    <w:qFormat/>
    <w:pPr>
      <w:keepNext w:val="true"/>
      <w:keepLines/>
      <w:spacing w:lineRule="auto" w:line="240" w:before="100" w:after="0"/>
      <w:ind w:right="-30" w:hanging="0"/>
    </w:pPr>
    <w:rPr>
      <w:b/>
      <w:color w:val="741B47"/>
      <w:sz w:val="56"/>
      <w:szCs w:val="56"/>
    </w:rPr>
  </w:style>
  <w:style w:type="paragraph" w:styleId="Sous-titre">
    <w:name w:val="Subtitle"/>
    <w:basedOn w:val="Normal"/>
    <w:next w:val="Normal"/>
    <w:qFormat/>
    <w:pPr>
      <w:keepNext w:val="true"/>
      <w:keepLines/>
      <w:spacing w:lineRule="auto" w:line="240" w:before="200" w:after="0"/>
      <w:ind w:right="-30" w:hanging="0"/>
    </w:pPr>
    <w:rPr>
      <w:b/>
      <w:color w:val="000000"/>
      <w:sz w:val="24"/>
      <w:szCs w:val="24"/>
    </w:rPr>
  </w:style>
  <w:style w:type="paragraph" w:styleId="En-tteetpieddepage">
    <w:name w:val="En-tête et pied de page"/>
    <w:basedOn w:val="Normal"/>
    <w:qFormat/>
    <w:pPr/>
    <w:rPr/>
  </w:style>
  <w:style w:type="paragraph" w:styleId="En-tte">
    <w:name w:val="Header"/>
    <w:basedOn w:val="En-tteetpieddepage"/>
    <w:pPr/>
    <w:rPr/>
  </w:style>
  <w:style w:type="paragraph" w:styleId="Pieddepage">
    <w:name w:val="Footer"/>
    <w:basedOn w:val="En-tteetpieddepage"/>
    <w:pPr/>
    <w:rPr/>
  </w:style>
  <w:style w:type="table" w:default="1" w:styleId="TableNormal">
    <w:name w:val="Normal Table"/>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DC1CB96DBC5B45BCA19033DED61BBA" ma:contentTypeVersion="6" ma:contentTypeDescription="Crée un document." ma:contentTypeScope="" ma:versionID="25f4528e335150152b3ba5643efd110a">
  <xsd:schema xmlns:xsd="http://www.w3.org/2001/XMLSchema" xmlns:xs="http://www.w3.org/2001/XMLSchema" xmlns:p="http://schemas.microsoft.com/office/2006/metadata/properties" xmlns:ns2="2cd41b04-9118-41e1-8ee9-6d09e3495e61" xmlns:ns3="512a9cf6-b5aa-4eee-9f33-c96e9fe0c586" targetNamespace="http://schemas.microsoft.com/office/2006/metadata/properties" ma:root="true" ma:fieldsID="ef98a9861e29da3720e83944567a509a" ns2:_="" ns3:_="">
    <xsd:import namespace="2cd41b04-9118-41e1-8ee9-6d09e3495e61"/>
    <xsd:import namespace="512a9cf6-b5aa-4eee-9f33-c96e9fe0c5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41b04-9118-41e1-8ee9-6d09e3495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2a9cf6-b5aa-4eee-9f33-c96e9fe0c58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36F47-8104-4E87-AFD4-F64956DB3CE7}"/>
</file>

<file path=customXml/itemProps2.xml><?xml version="1.0" encoding="utf-8"?>
<ds:datastoreItem xmlns:ds="http://schemas.openxmlformats.org/officeDocument/2006/customXml" ds:itemID="{3171063F-2A35-4F5A-A2EC-B6AEEC026CD5}"/>
</file>

<file path=customXml/itemProps3.xml><?xml version="1.0" encoding="utf-8"?>
<ds:datastoreItem xmlns:ds="http://schemas.openxmlformats.org/officeDocument/2006/customXml" ds:itemID="{D2AD1342-281E-45E6-971F-03A0B98A3C34}"/>
</file>

<file path=docProps/app.xml><?xml version="1.0" encoding="utf-8"?>
<Properties xmlns="http://schemas.openxmlformats.org/officeDocument/2006/extended-properties" xmlns:vt="http://schemas.openxmlformats.org/officeDocument/2006/docPropsVTypes">
  <Template/>
  <TotalTime>32</TotalTime>
  <Application>LibreOffice/7.5.9.2$Linux_X86_64 LibreOffice_project/50$Build-2</Application>
  <AppVersion>15.0000</AppVersion>
  <Pages>8</Pages>
  <Words>3527</Words>
  <Characters>19632</Characters>
  <CharactersWithSpaces>23050</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Diana Penciuc</cp:lastModifiedBy>
  <dcterms:modified xsi:type="dcterms:W3CDTF">2024-04-05T15:58:18Z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0x01010028DC1CB96DBC5B45BCA19033DED61BBA</vt:lpwstr>
  </property>
</Properties>
</file>